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="00EF06D9">
        <w:t>МДОУ «Детский сад № 68»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EF06D9">
        <w:t>Г.В. Волкова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EF06D9">
        <w:t>27</w:t>
      </w:r>
      <w:r w:rsidRPr="00F43323">
        <w:t xml:space="preserve">» </w:t>
      </w:r>
      <w:r w:rsidR="00EF06D9">
        <w:t>июл</w:t>
      </w:r>
      <w:r w:rsidR="00F43323" w:rsidRPr="00F43323">
        <w:t>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EF06D9">
        <w:rPr>
          <w:b/>
          <w:bCs/>
          <w:sz w:val="32"/>
          <w:szCs w:val="32"/>
        </w:rPr>
        <w:t xml:space="preserve">дошкольного 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EF06D9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4332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Детский сад № 68</w:t>
      </w:r>
      <w:r w:rsidR="00F43323"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EF06D9" w:rsidRDefault="00EF06D9" w:rsidP="00F43323">
      <w:pPr>
        <w:pStyle w:val="Default"/>
        <w:widowControl w:val="0"/>
        <w:rPr>
          <w:b/>
          <w:bCs/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EF5C24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EF5C24">
        <w:rPr>
          <w:color w:val="auto"/>
        </w:rPr>
        <w:t>«Детский сад № 68»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</w:t>
      </w:r>
      <w:r w:rsidR="00C324D6">
        <w:rPr>
          <w:color w:val="auto"/>
        </w:rPr>
        <w:t>нных государственных органов.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lastRenderedPageBreak/>
        <w:t xml:space="preserve">разработка на основе модели угроз системы защиты персональных данных;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применение в необходимых случаях средств межсетевого экранирования, обнаружения </w:t>
      </w:r>
      <w:bookmarkStart w:id="0" w:name="_GoBack"/>
      <w:r w:rsidRPr="00320D94">
        <w:rPr>
          <w:color w:val="auto"/>
        </w:rPr>
        <w:t>вторжений, анализа защищенности и сре</w:t>
      </w:r>
      <w:proofErr w:type="gramStart"/>
      <w:r w:rsidRPr="00320D94">
        <w:rPr>
          <w:color w:val="auto"/>
        </w:rPr>
        <w:t>дств кр</w:t>
      </w:r>
      <w:proofErr w:type="gramEnd"/>
      <w:r w:rsidRPr="00320D94">
        <w:rPr>
          <w:color w:val="auto"/>
        </w:rPr>
        <w:t xml:space="preserve">иптографической защиты информации; </w:t>
      </w:r>
    </w:p>
    <w:p w:rsidR="005C0F4F" w:rsidRPr="00320D94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320D94">
        <w:rPr>
          <w:color w:val="auto"/>
        </w:rPr>
        <w:t xml:space="preserve">организация охраны помещений с техническими средствами обработки персональных данных. </w:t>
      </w:r>
    </w:p>
    <w:bookmarkEnd w:id="0"/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25011F"/>
    <w:rsid w:val="00320D94"/>
    <w:rsid w:val="00481F2C"/>
    <w:rsid w:val="004A1685"/>
    <w:rsid w:val="005A76D2"/>
    <w:rsid w:val="005C0F4F"/>
    <w:rsid w:val="00605E89"/>
    <w:rsid w:val="00687A8C"/>
    <w:rsid w:val="007747A7"/>
    <w:rsid w:val="007E6912"/>
    <w:rsid w:val="00A43CD0"/>
    <w:rsid w:val="00C324D6"/>
    <w:rsid w:val="00D36B79"/>
    <w:rsid w:val="00DA72E1"/>
    <w:rsid w:val="00E2763F"/>
    <w:rsid w:val="00E301A3"/>
    <w:rsid w:val="00ED50AC"/>
    <w:rsid w:val="00EF06D9"/>
    <w:rsid w:val="00EF5C24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2017-07-27T13:22:00Z</cp:lastPrinted>
  <dcterms:created xsi:type="dcterms:W3CDTF">2017-07-27T13:10:00Z</dcterms:created>
  <dcterms:modified xsi:type="dcterms:W3CDTF">2017-07-27T13:29:00Z</dcterms:modified>
</cp:coreProperties>
</file>